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1C" w:rsidRDefault="0059441C" w:rsidP="0059441C">
      <w:pPr>
        <w:spacing w:line="336" w:lineRule="atLeast"/>
        <w:jc w:val="center"/>
        <w:rPr>
          <w:rFonts w:ascii="Trebuchet MS" w:hAnsi="Trebuchet MS"/>
          <w:color w:val="17375E"/>
          <w:sz w:val="20"/>
          <w:szCs w:val="20"/>
          <w:lang w:eastAsia="it-IT"/>
        </w:rPr>
      </w:pPr>
      <w:r>
        <w:rPr>
          <w:rFonts w:ascii="Trebuchet MS" w:hAnsi="Trebuchet MS"/>
          <w:b/>
          <w:bCs/>
          <w:color w:val="17375E"/>
          <w:sz w:val="20"/>
          <w:szCs w:val="20"/>
          <w:lang w:eastAsia="it-IT"/>
        </w:rPr>
        <w:t>DEFINIZIONE AGEVOLATA DELLE CARTELLE</w:t>
      </w:r>
    </w:p>
    <w:p w:rsidR="0059441C" w:rsidRDefault="0059441C" w:rsidP="0059441C">
      <w:pPr>
        <w:spacing w:line="336" w:lineRule="atLeast"/>
        <w:jc w:val="center"/>
        <w:rPr>
          <w:rFonts w:ascii="Trebuchet MS" w:hAnsi="Trebuchet MS"/>
          <w:color w:val="17375E"/>
          <w:sz w:val="20"/>
          <w:szCs w:val="20"/>
          <w:lang w:eastAsia="it-IT"/>
        </w:rPr>
      </w:pPr>
      <w:r>
        <w:rPr>
          <w:rFonts w:ascii="Trebuchet MS" w:hAnsi="Trebuchet MS"/>
          <w:b/>
          <w:bCs/>
          <w:color w:val="17375E"/>
          <w:sz w:val="20"/>
          <w:szCs w:val="20"/>
          <w:lang w:eastAsia="it-IT"/>
        </w:rPr>
        <w:t>LA SCADENZA E' STATA PROROGATA AL 31 MAGGIO</w:t>
      </w:r>
    </w:p>
    <w:p w:rsidR="0059441C" w:rsidRDefault="0059441C" w:rsidP="0059441C">
      <w:pPr>
        <w:spacing w:line="408" w:lineRule="auto"/>
        <w:rPr>
          <w:rFonts w:ascii="Trebuchet MS" w:hAnsi="Trebuchet MS"/>
          <w:color w:val="17375E"/>
          <w:sz w:val="19"/>
          <w:szCs w:val="19"/>
          <w:lang w:eastAsia="it-IT"/>
        </w:rPr>
      </w:pPr>
      <w:r>
        <w:rPr>
          <w:rFonts w:ascii="Trebuchet MS" w:hAnsi="Trebuchet MS"/>
          <w:color w:val="17375E"/>
          <w:sz w:val="19"/>
          <w:szCs w:val="19"/>
          <w:lang w:eastAsia="it-IT"/>
        </w:rPr>
        <w:t xml:space="preserve">Per pagare le cartelle di </w:t>
      </w:r>
      <w:proofErr w:type="spellStart"/>
      <w:r>
        <w:rPr>
          <w:rFonts w:ascii="Trebuchet MS" w:hAnsi="Trebuchet MS"/>
          <w:color w:val="17375E"/>
          <w:sz w:val="19"/>
          <w:szCs w:val="19"/>
          <w:lang w:eastAsia="it-IT"/>
        </w:rPr>
        <w:t>Equitalia</w:t>
      </w:r>
      <w:proofErr w:type="spellEnd"/>
      <w:r>
        <w:rPr>
          <w:rFonts w:ascii="Trebuchet MS" w:hAnsi="Trebuchet MS"/>
          <w:color w:val="17375E"/>
          <w:sz w:val="19"/>
          <w:szCs w:val="19"/>
          <w:lang w:eastAsia="it-IT"/>
        </w:rPr>
        <w:t xml:space="preserve"> con la definizione agevolata c’è tempo ancora fino al 31 maggio. Il termine, infatti, è stato prorogato con il decreto legge n. 16 del 6 marzo 2014, convertito nella legge del 2 maggio 2014 n. 68. Pertanto, entro il 31 ottobre 2014, e non più il 30 giugno, </w:t>
      </w:r>
      <w:proofErr w:type="spellStart"/>
      <w:r>
        <w:rPr>
          <w:rFonts w:ascii="Trebuchet MS" w:hAnsi="Trebuchet MS"/>
          <w:color w:val="17375E"/>
          <w:sz w:val="19"/>
          <w:szCs w:val="19"/>
          <w:lang w:eastAsia="it-IT"/>
        </w:rPr>
        <w:t>Equitalia</w:t>
      </w:r>
      <w:proofErr w:type="spellEnd"/>
      <w:r>
        <w:rPr>
          <w:rFonts w:ascii="Trebuchet MS" w:hAnsi="Trebuchet MS"/>
          <w:color w:val="17375E"/>
          <w:sz w:val="19"/>
          <w:szCs w:val="19"/>
          <w:lang w:eastAsia="it-IT"/>
        </w:rPr>
        <w:t xml:space="preserve"> trasmetterà a ciascun ente interessato l’elenco dei debitori che hanno pagato tempestivamente e, tramite posta ordinaria, informerà dell’avvenuta estinzione del debito coloro che hanno effettuato il versamento.</w:t>
      </w:r>
    </w:p>
    <w:p w:rsidR="0059441C" w:rsidRDefault="0059441C" w:rsidP="0059441C">
      <w:pPr>
        <w:spacing w:line="408" w:lineRule="auto"/>
        <w:jc w:val="both"/>
        <w:rPr>
          <w:rFonts w:ascii="Trebuchet MS" w:hAnsi="Trebuchet MS"/>
          <w:color w:val="17375E"/>
          <w:sz w:val="19"/>
          <w:szCs w:val="19"/>
          <w:lang w:eastAsia="it-IT"/>
        </w:rPr>
      </w:pPr>
      <w:r>
        <w:rPr>
          <w:rFonts w:ascii="Trebuchet MS" w:hAnsi="Trebuchet MS"/>
          <w:color w:val="17375E"/>
          <w:sz w:val="19"/>
          <w:szCs w:val="19"/>
          <w:lang w:eastAsia="it-IT"/>
        </w:rPr>
        <w:t xml:space="preserve">Con la proroga la sospensione della riscossione dei debiti interessati dalla definizione agevolata slitta dal 15 aprile al 15 giugno 2014. </w:t>
      </w:r>
    </w:p>
    <w:p w:rsidR="0059441C" w:rsidRDefault="0059441C" w:rsidP="0059441C">
      <w:pPr>
        <w:spacing w:line="408" w:lineRule="auto"/>
        <w:jc w:val="both"/>
        <w:rPr>
          <w:rFonts w:ascii="Trebuchet MS" w:hAnsi="Trebuchet MS"/>
          <w:color w:val="17375E"/>
          <w:sz w:val="19"/>
          <w:szCs w:val="19"/>
          <w:lang w:eastAsia="it-IT"/>
        </w:rPr>
      </w:pPr>
      <w:r>
        <w:rPr>
          <w:rFonts w:ascii="Trebuchet MS" w:hAnsi="Trebuchet MS"/>
          <w:color w:val="17375E"/>
          <w:sz w:val="19"/>
          <w:szCs w:val="19"/>
          <w:lang w:eastAsia="it-IT"/>
        </w:rPr>
        <w:t xml:space="preserve">La Legge di Stabilità 2014 (legge 27 dicembre 2013 n.147) prevede la possibilità di pagare in un’unica soluzione, </w:t>
      </w:r>
      <w:r>
        <w:rPr>
          <w:rFonts w:ascii="Trebuchet MS" w:hAnsi="Trebuchet MS"/>
          <w:color w:val="17375E"/>
          <w:sz w:val="19"/>
          <w:szCs w:val="19"/>
          <w:u w:val="single"/>
          <w:lang w:eastAsia="it-IT"/>
        </w:rPr>
        <w:t>senza interessi di mora e interessi di ritardata iscrizione a ruolo</w:t>
      </w:r>
      <w:r>
        <w:rPr>
          <w:rFonts w:ascii="Trebuchet MS" w:hAnsi="Trebuchet MS"/>
          <w:color w:val="17375E"/>
          <w:sz w:val="19"/>
          <w:szCs w:val="19"/>
          <w:lang w:eastAsia="it-IT"/>
        </w:rPr>
        <w:t xml:space="preserve">, le cartelle e gli avvisi di accertamento esecutivi affidati entro il 31 ottobre 2013 a </w:t>
      </w:r>
      <w:proofErr w:type="spellStart"/>
      <w:r>
        <w:rPr>
          <w:rFonts w:ascii="Trebuchet MS" w:hAnsi="Trebuchet MS"/>
          <w:color w:val="17375E"/>
          <w:sz w:val="19"/>
          <w:szCs w:val="19"/>
          <w:lang w:eastAsia="it-IT"/>
        </w:rPr>
        <w:t>Equitalia</w:t>
      </w:r>
      <w:proofErr w:type="spellEnd"/>
      <w:r>
        <w:rPr>
          <w:rFonts w:ascii="Trebuchet MS" w:hAnsi="Trebuchet MS"/>
          <w:color w:val="17375E"/>
          <w:sz w:val="19"/>
          <w:szCs w:val="19"/>
          <w:lang w:eastAsia="it-IT"/>
        </w:rPr>
        <w:t xml:space="preserve"> per la riscossione. Rientrano nell’agevolazione, per esempio, le entrate erariali come l’Irpef e l’Iva e, limitatamente agli interessi di mora, anche le entrate non erariali come il bollo dell’auto e le multe per violazione al codice della strada elevate da Comuni e Prefetture.</w:t>
      </w:r>
    </w:p>
    <w:p w:rsidR="0059441C" w:rsidRDefault="0059441C" w:rsidP="0059441C">
      <w:pPr>
        <w:spacing w:line="408" w:lineRule="auto"/>
        <w:jc w:val="both"/>
        <w:rPr>
          <w:rFonts w:ascii="Trebuchet MS" w:hAnsi="Trebuchet MS"/>
          <w:color w:val="17375E"/>
          <w:sz w:val="19"/>
          <w:szCs w:val="19"/>
        </w:rPr>
      </w:pPr>
      <w:r>
        <w:rPr>
          <w:rFonts w:ascii="Trebuchet MS" w:hAnsi="Trebuchet MS"/>
          <w:color w:val="17375E"/>
          <w:sz w:val="19"/>
          <w:szCs w:val="19"/>
        </w:rPr>
        <w:t xml:space="preserve">Restano invece escluse le somme dovute per effetto di sentenze di condanna della Corte dei Conti, i contributi richiesti dagli enti previdenziali (Inps, </w:t>
      </w:r>
      <w:proofErr w:type="spellStart"/>
      <w:r>
        <w:rPr>
          <w:rFonts w:ascii="Trebuchet MS" w:hAnsi="Trebuchet MS"/>
          <w:color w:val="17375E"/>
          <w:sz w:val="19"/>
          <w:szCs w:val="19"/>
        </w:rPr>
        <w:t>Inail</w:t>
      </w:r>
      <w:proofErr w:type="spellEnd"/>
      <w:r>
        <w:rPr>
          <w:rFonts w:ascii="Trebuchet MS" w:hAnsi="Trebuchet MS"/>
          <w:color w:val="17375E"/>
          <w:sz w:val="19"/>
          <w:szCs w:val="19"/>
        </w:rPr>
        <w:t xml:space="preserve">), i tributi locali non riscossi da </w:t>
      </w:r>
      <w:proofErr w:type="spellStart"/>
      <w:r>
        <w:rPr>
          <w:rFonts w:ascii="Trebuchet MS" w:hAnsi="Trebuchet MS"/>
          <w:color w:val="17375E"/>
          <w:sz w:val="19"/>
          <w:szCs w:val="19"/>
        </w:rPr>
        <w:t>Equitalia</w:t>
      </w:r>
      <w:proofErr w:type="spellEnd"/>
      <w:r>
        <w:rPr>
          <w:rFonts w:ascii="Trebuchet MS" w:hAnsi="Trebuchet MS"/>
          <w:color w:val="17375E"/>
          <w:sz w:val="19"/>
          <w:szCs w:val="19"/>
        </w:rPr>
        <w:t xml:space="preserve"> e le richieste di pagamento di enti diversi da quelli ammessi (l’elenco è disponibile sul sito </w:t>
      </w:r>
      <w:hyperlink r:id="rId5" w:history="1">
        <w:r>
          <w:rPr>
            <w:rStyle w:val="Collegamentoipertestuale"/>
            <w:rFonts w:ascii="Trebuchet MS" w:hAnsi="Trebuchet MS"/>
            <w:color w:val="17375E"/>
            <w:sz w:val="19"/>
            <w:szCs w:val="19"/>
          </w:rPr>
          <w:t>www.gruppoequitalia.it</w:t>
        </w:r>
      </w:hyperlink>
      <w:r>
        <w:rPr>
          <w:rFonts w:ascii="Trebuchet MS" w:hAnsi="Trebuchet MS"/>
          <w:color w:val="17375E"/>
          <w:sz w:val="19"/>
          <w:szCs w:val="19"/>
        </w:rPr>
        <w:t xml:space="preserve">). </w:t>
      </w:r>
      <w:r>
        <w:rPr>
          <w:rFonts w:ascii="Trebuchet MS" w:hAnsi="Trebuchet MS"/>
          <w:color w:val="17375E"/>
          <w:sz w:val="19"/>
          <w:szCs w:val="19"/>
          <w:u w:val="single"/>
        </w:rPr>
        <w:t>La definizione agevolata è applicabile anche in presenza di rateizzazioni, sospensioni giudiziali o altre situazioni particolari.</w:t>
      </w:r>
    </w:p>
    <w:p w:rsidR="0059441C" w:rsidRDefault="0059441C" w:rsidP="0059441C">
      <w:pPr>
        <w:spacing w:line="408" w:lineRule="auto"/>
        <w:jc w:val="both"/>
        <w:rPr>
          <w:rFonts w:ascii="Trebuchet MS" w:hAnsi="Trebuchet MS"/>
          <w:color w:val="17375E"/>
          <w:sz w:val="19"/>
          <w:szCs w:val="19"/>
        </w:rPr>
      </w:pPr>
      <w:r>
        <w:rPr>
          <w:rFonts w:ascii="Trebuchet MS" w:hAnsi="Trebuchet MS"/>
          <w:color w:val="17375E"/>
          <w:sz w:val="19"/>
          <w:szCs w:val="19"/>
        </w:rPr>
        <w:t xml:space="preserve">I tributi interessati. La definizione agevolata riguarda le cartelle e avvisi di accertamento esecutivi emessi per tributi di competenza delle Agenzie fiscali (Agenzia delle Entrate, del Demanio, del Territorio, delle Dogane e dei Monopoli), Uffici statali (per esempio Ministeri e Prefetture) ed Enti locali (Regioni, Province e Comuni), affidati a </w:t>
      </w:r>
      <w:proofErr w:type="spellStart"/>
      <w:r>
        <w:rPr>
          <w:rFonts w:ascii="Trebuchet MS" w:hAnsi="Trebuchet MS"/>
          <w:color w:val="17375E"/>
          <w:sz w:val="19"/>
          <w:szCs w:val="19"/>
        </w:rPr>
        <w:t>Equitalia</w:t>
      </w:r>
      <w:proofErr w:type="spellEnd"/>
      <w:r>
        <w:rPr>
          <w:rFonts w:ascii="Trebuchet MS" w:hAnsi="Trebuchet MS"/>
          <w:color w:val="17375E"/>
          <w:sz w:val="19"/>
          <w:szCs w:val="19"/>
        </w:rPr>
        <w:t xml:space="preserve"> entro il 31 ottobre 2013.</w:t>
      </w:r>
    </w:p>
    <w:p w:rsidR="0059441C" w:rsidRDefault="0059441C" w:rsidP="0059441C">
      <w:pPr>
        <w:spacing w:line="408" w:lineRule="auto"/>
        <w:jc w:val="both"/>
        <w:rPr>
          <w:rFonts w:ascii="Trebuchet MS" w:hAnsi="Trebuchet MS"/>
          <w:color w:val="254061"/>
          <w:sz w:val="19"/>
          <w:szCs w:val="19"/>
          <w:lang w:eastAsia="it-IT"/>
        </w:rPr>
      </w:pPr>
      <w:r>
        <w:rPr>
          <w:rFonts w:ascii="Trebuchet MS" w:hAnsi="Trebuchet MS"/>
          <w:color w:val="254061"/>
          <w:sz w:val="19"/>
          <w:szCs w:val="19"/>
          <w:lang w:eastAsia="it-IT"/>
        </w:rPr>
        <w:t xml:space="preserve">È possibile effettuare il versamento in tutti gli sportelli di </w:t>
      </w:r>
      <w:proofErr w:type="spellStart"/>
      <w:r>
        <w:rPr>
          <w:rFonts w:ascii="Trebuchet MS" w:hAnsi="Trebuchet MS"/>
          <w:color w:val="254061"/>
          <w:sz w:val="19"/>
          <w:szCs w:val="19"/>
          <w:lang w:eastAsia="it-IT"/>
        </w:rPr>
        <w:t>Equitalia</w:t>
      </w:r>
      <w:proofErr w:type="spellEnd"/>
      <w:r>
        <w:rPr>
          <w:rFonts w:ascii="Trebuchet MS" w:hAnsi="Trebuchet MS"/>
          <w:color w:val="254061"/>
          <w:sz w:val="19"/>
          <w:szCs w:val="19"/>
          <w:lang w:eastAsia="it-IT"/>
        </w:rPr>
        <w:t>, negli uffici postali tramite bollettino F35, indicando nel campo “Eseguito da”, oltre ai dati personali, anche la dicitura “Definizione Ruoli - L.S. 2014”. Per la corretta ricezione del pagamento, si consiglia di utilizzare un bollettino F35, completo di codice fiscale, per ognuna delle cartelle/avvisi che si vuole pagare in forma agevolata.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59441C" w:rsidTr="0059441C">
        <w:trPr>
          <w:tblCellSpacing w:w="15" w:type="dxa"/>
        </w:trPr>
        <w:tc>
          <w:tcPr>
            <w:tcW w:w="500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41C" w:rsidRDefault="0059441C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59441C" w:rsidTr="0059441C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41C" w:rsidRDefault="0059441C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41C" w:rsidRDefault="0059441C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59441C" w:rsidRDefault="0059441C" w:rsidP="0059441C"/>
    <w:p w:rsidR="0059441C" w:rsidRDefault="0059441C" w:rsidP="0059441C">
      <w:pPr>
        <w:rPr>
          <w:rFonts w:ascii="Times New Roman" w:hAnsi="Times New Roman"/>
          <w:color w:val="000080"/>
          <w:sz w:val="24"/>
          <w:szCs w:val="24"/>
          <w:lang w:eastAsia="it-IT"/>
        </w:rPr>
      </w:pPr>
      <w:r>
        <w:rPr>
          <w:rFonts w:ascii="Verdana" w:hAnsi="Verdana"/>
          <w:b/>
          <w:bCs/>
          <w:color w:val="0046AD"/>
          <w:sz w:val="16"/>
          <w:szCs w:val="16"/>
          <w:lang w:eastAsia="it-IT"/>
        </w:rPr>
        <w:t>Renato Biasi</w:t>
      </w:r>
    </w:p>
    <w:p w:rsidR="0059441C" w:rsidRDefault="0059441C" w:rsidP="0059441C">
      <w:pPr>
        <w:rPr>
          <w:color w:val="000080"/>
          <w:lang w:eastAsia="it-IT"/>
        </w:rPr>
      </w:pPr>
      <w:r>
        <w:rPr>
          <w:rFonts w:ascii="Verdana" w:hAnsi="Verdana"/>
          <w:color w:val="0046AD"/>
          <w:sz w:val="16"/>
          <w:szCs w:val="16"/>
          <w:lang w:eastAsia="it-IT"/>
        </w:rPr>
        <w:t>Direzione Regionale Toscana</w:t>
      </w:r>
    </w:p>
    <w:p w:rsidR="0059441C" w:rsidRDefault="0059441C" w:rsidP="0059441C">
      <w:pPr>
        <w:rPr>
          <w:rFonts w:ascii="Verdana" w:hAnsi="Verdana"/>
          <w:color w:val="0046AD"/>
          <w:sz w:val="16"/>
          <w:szCs w:val="16"/>
          <w:lang w:eastAsia="it-IT"/>
        </w:rPr>
      </w:pPr>
      <w:r>
        <w:rPr>
          <w:rFonts w:ascii="Verdana" w:hAnsi="Verdana"/>
          <w:color w:val="0046AD"/>
          <w:sz w:val="16"/>
          <w:szCs w:val="16"/>
          <w:lang w:eastAsia="it-IT"/>
        </w:rPr>
        <w:t>Area Territoriale di Pisa</w:t>
      </w:r>
    </w:p>
    <w:p w:rsidR="0059441C" w:rsidRDefault="0059441C" w:rsidP="0059441C">
      <w:pPr>
        <w:rPr>
          <w:rFonts w:ascii="Times New Roman" w:hAnsi="Times New Roman"/>
          <w:color w:val="000080"/>
          <w:sz w:val="24"/>
          <w:szCs w:val="24"/>
          <w:lang w:eastAsia="it-IT"/>
        </w:rPr>
      </w:pPr>
      <w:r>
        <w:rPr>
          <w:rFonts w:ascii="Verdana" w:hAnsi="Verdana"/>
          <w:color w:val="0046AD"/>
          <w:sz w:val="16"/>
          <w:szCs w:val="16"/>
          <w:lang w:eastAsia="it-IT"/>
        </w:rPr>
        <w:t>Responsabile</w:t>
      </w:r>
    </w:p>
    <w:p w:rsidR="0059441C" w:rsidRDefault="0059441C" w:rsidP="0059441C">
      <w:pPr>
        <w:rPr>
          <w:rFonts w:ascii="Verdana" w:hAnsi="Verdana"/>
          <w:color w:val="0046AD"/>
          <w:sz w:val="8"/>
          <w:szCs w:val="8"/>
          <w:lang w:eastAsia="it-IT"/>
        </w:rPr>
      </w:pPr>
    </w:p>
    <w:p w:rsidR="0059441C" w:rsidRDefault="0059441C" w:rsidP="0059441C">
      <w:pPr>
        <w:rPr>
          <w:rFonts w:ascii="Verdana" w:hAnsi="Verdana"/>
          <w:b/>
          <w:bCs/>
          <w:color w:val="0046AD"/>
          <w:sz w:val="16"/>
          <w:szCs w:val="16"/>
          <w:lang w:eastAsia="it-IT"/>
        </w:rPr>
      </w:pPr>
      <w:proofErr w:type="spellStart"/>
      <w:r>
        <w:rPr>
          <w:rFonts w:ascii="Verdana" w:hAnsi="Verdana"/>
          <w:b/>
          <w:bCs/>
          <w:color w:val="0046AD"/>
          <w:sz w:val="16"/>
          <w:szCs w:val="16"/>
          <w:lang w:eastAsia="it-IT"/>
        </w:rPr>
        <w:t>Equitalia</w:t>
      </w:r>
      <w:proofErr w:type="spellEnd"/>
      <w:r>
        <w:rPr>
          <w:rFonts w:ascii="Verdana" w:hAnsi="Verdana"/>
          <w:b/>
          <w:bCs/>
          <w:color w:val="0046AD"/>
          <w:sz w:val="16"/>
          <w:szCs w:val="16"/>
          <w:lang w:eastAsia="it-IT"/>
        </w:rPr>
        <w:t xml:space="preserve"> Centro </w:t>
      </w:r>
      <w:proofErr w:type="spellStart"/>
      <w:r>
        <w:rPr>
          <w:rFonts w:ascii="Verdana" w:hAnsi="Verdana"/>
          <w:b/>
          <w:bCs/>
          <w:color w:val="0046AD"/>
          <w:sz w:val="16"/>
          <w:szCs w:val="16"/>
          <w:lang w:eastAsia="it-IT"/>
        </w:rPr>
        <w:t>SpA</w:t>
      </w:r>
      <w:proofErr w:type="spellEnd"/>
      <w:r>
        <w:rPr>
          <w:rFonts w:ascii="Verdana" w:hAnsi="Verdana"/>
          <w:b/>
          <w:bCs/>
          <w:color w:val="0046AD"/>
          <w:sz w:val="16"/>
          <w:szCs w:val="16"/>
          <w:lang w:eastAsia="it-IT"/>
        </w:rPr>
        <w:t xml:space="preserve"> </w:t>
      </w:r>
    </w:p>
    <w:p w:rsidR="0059441C" w:rsidRDefault="0059441C" w:rsidP="0059441C">
      <w:pPr>
        <w:rPr>
          <w:rFonts w:ascii="Verdana" w:hAnsi="Verdana"/>
          <w:color w:val="0046AD"/>
          <w:sz w:val="16"/>
          <w:szCs w:val="16"/>
          <w:lang w:eastAsia="it-IT"/>
        </w:rPr>
      </w:pPr>
      <w:r>
        <w:rPr>
          <w:rFonts w:ascii="Verdana" w:hAnsi="Verdana"/>
          <w:color w:val="0046AD"/>
          <w:sz w:val="16"/>
          <w:szCs w:val="16"/>
          <w:lang w:eastAsia="it-IT"/>
        </w:rPr>
        <w:t xml:space="preserve">Via Darsena 1 </w:t>
      </w:r>
    </w:p>
    <w:p w:rsidR="0059441C" w:rsidRDefault="0059441C" w:rsidP="0059441C">
      <w:pPr>
        <w:rPr>
          <w:rFonts w:ascii="Times New Roman" w:hAnsi="Times New Roman"/>
          <w:color w:val="000080"/>
          <w:sz w:val="24"/>
          <w:szCs w:val="24"/>
          <w:lang w:eastAsia="it-IT"/>
        </w:rPr>
      </w:pPr>
      <w:r>
        <w:rPr>
          <w:rFonts w:ascii="Verdana" w:hAnsi="Verdana"/>
          <w:color w:val="0046AD"/>
          <w:sz w:val="16"/>
          <w:szCs w:val="16"/>
          <w:lang w:val="de-DE" w:eastAsia="it-IT"/>
        </w:rPr>
        <w:t>56121 Pisa (PI)</w:t>
      </w:r>
    </w:p>
    <w:p w:rsidR="0059441C" w:rsidRDefault="0059441C" w:rsidP="0059441C">
      <w:pPr>
        <w:rPr>
          <w:rFonts w:ascii="Verdana" w:hAnsi="Verdana"/>
          <w:color w:val="0046AD"/>
          <w:sz w:val="16"/>
          <w:szCs w:val="16"/>
          <w:lang w:val="de-DE" w:eastAsia="it-IT"/>
        </w:rPr>
      </w:pPr>
      <w:r>
        <w:rPr>
          <w:rFonts w:ascii="Verdana" w:hAnsi="Verdana"/>
          <w:color w:val="0046AD"/>
          <w:sz w:val="16"/>
          <w:szCs w:val="16"/>
          <w:lang w:val="de-DE" w:eastAsia="it-IT"/>
        </w:rPr>
        <w:t xml:space="preserve">T 050 9917203  C +39 331 5790907  VOIP 52303 </w:t>
      </w:r>
    </w:p>
    <w:p w:rsidR="0059441C" w:rsidRDefault="0059441C" w:rsidP="0059441C">
      <w:pPr>
        <w:rPr>
          <w:rFonts w:ascii="Verdana" w:hAnsi="Verdana"/>
          <w:color w:val="0046AD"/>
          <w:sz w:val="16"/>
          <w:szCs w:val="16"/>
          <w:lang w:val="de-DE" w:eastAsia="it-IT"/>
        </w:rPr>
      </w:pPr>
      <w:hyperlink r:id="rId6" w:history="1">
        <w:r>
          <w:rPr>
            <w:rStyle w:val="Collegamentoipertestuale"/>
            <w:rFonts w:ascii="Verdana" w:hAnsi="Verdana"/>
            <w:sz w:val="16"/>
            <w:szCs w:val="16"/>
            <w:lang w:val="de-DE" w:eastAsia="it-IT"/>
          </w:rPr>
          <w:t>http://www.gruppoequitalia.it</w:t>
        </w:r>
      </w:hyperlink>
      <w:r>
        <w:rPr>
          <w:rFonts w:ascii="Verdana" w:hAnsi="Verdana"/>
          <w:color w:val="0046AD"/>
          <w:sz w:val="16"/>
          <w:szCs w:val="16"/>
          <w:lang w:val="de-DE" w:eastAsia="it-IT"/>
        </w:rPr>
        <w:t xml:space="preserve"> </w:t>
      </w:r>
    </w:p>
    <w:p w:rsidR="0059441C" w:rsidRDefault="0059441C" w:rsidP="0059441C">
      <w:pPr>
        <w:rPr>
          <w:rFonts w:ascii="Verdana" w:hAnsi="Verdana"/>
          <w:color w:val="0046AD"/>
          <w:sz w:val="16"/>
          <w:szCs w:val="16"/>
          <w:lang w:val="de-DE" w:eastAsia="it-IT"/>
        </w:rPr>
      </w:pPr>
    </w:p>
    <w:p w:rsidR="0059441C" w:rsidRDefault="0059441C" w:rsidP="0059441C">
      <w:pPr>
        <w:rPr>
          <w:rFonts w:ascii="Arial" w:hAnsi="Arial" w:cs="Arial"/>
          <w:color w:val="779ACA"/>
          <w:sz w:val="20"/>
          <w:szCs w:val="20"/>
          <w:lang w:val="en-GB" w:eastAsia="it-IT"/>
        </w:rPr>
      </w:pPr>
      <w:r>
        <w:rPr>
          <w:i/>
          <w:iCs/>
          <w:noProof/>
          <w:color w:val="779ACA"/>
          <w:lang w:eastAsia="it-IT"/>
        </w:rPr>
        <w:drawing>
          <wp:inline distT="0" distB="0" distL="0" distR="0">
            <wp:extent cx="1724025" cy="504825"/>
            <wp:effectExtent l="0" t="0" r="9525" b="9525"/>
            <wp:docPr id="1" name="Immagine 1" descr="Descrizione: Descrizione: Equ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Equitali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41C" w:rsidRDefault="0059441C" w:rsidP="0059441C">
      <w:pPr>
        <w:rPr>
          <w:color w:val="779ACA"/>
          <w:sz w:val="14"/>
          <w:szCs w:val="14"/>
          <w:lang w:val="en-GB" w:eastAsia="it-IT"/>
        </w:rPr>
      </w:pPr>
    </w:p>
    <w:p w:rsidR="0059441C" w:rsidRDefault="0059441C" w:rsidP="0059441C">
      <w:pPr>
        <w:rPr>
          <w:rFonts w:ascii="Times New Roman" w:hAnsi="Times New Roman"/>
          <w:color w:val="779ACA"/>
          <w:sz w:val="14"/>
          <w:szCs w:val="14"/>
          <w:lang w:val="en-GB" w:eastAsia="it-IT"/>
        </w:rPr>
      </w:pPr>
    </w:p>
    <w:p w:rsidR="0059441C" w:rsidRDefault="0059441C" w:rsidP="0059441C">
      <w:pPr>
        <w:rPr>
          <w:rFonts w:ascii="Verdana" w:hAnsi="Verdana"/>
          <w:color w:val="7FAAD1"/>
          <w:sz w:val="14"/>
          <w:szCs w:val="14"/>
          <w:lang w:eastAsia="it-IT"/>
        </w:rPr>
      </w:pPr>
      <w:r>
        <w:rPr>
          <w:rFonts w:ascii="Verdana" w:hAnsi="Verdana"/>
          <w:color w:val="7FAAD1"/>
          <w:sz w:val="14"/>
          <w:szCs w:val="14"/>
          <w:lang w:eastAsia="it-IT"/>
        </w:rPr>
        <w:t xml:space="preserve">Informativa ai sensi del codice della Privacy (D. </w:t>
      </w:r>
      <w:proofErr w:type="spellStart"/>
      <w:r>
        <w:rPr>
          <w:rFonts w:ascii="Verdana" w:hAnsi="Verdana"/>
          <w:color w:val="7FAAD1"/>
          <w:sz w:val="14"/>
          <w:szCs w:val="14"/>
          <w:lang w:eastAsia="it-IT"/>
        </w:rPr>
        <w:t>Lgs</w:t>
      </w:r>
      <w:proofErr w:type="spellEnd"/>
      <w:r>
        <w:rPr>
          <w:rFonts w:ascii="Verdana" w:hAnsi="Verdana"/>
          <w:color w:val="7FAAD1"/>
          <w:sz w:val="14"/>
          <w:szCs w:val="14"/>
          <w:lang w:eastAsia="it-IT"/>
        </w:rPr>
        <w:t xml:space="preserve">. 196 – 30/06/2003). </w:t>
      </w:r>
    </w:p>
    <w:p w:rsidR="0059441C" w:rsidRDefault="0059441C" w:rsidP="0059441C">
      <w:pPr>
        <w:rPr>
          <w:rFonts w:ascii="Verdana" w:hAnsi="Verdana"/>
          <w:color w:val="7FAAD1"/>
          <w:sz w:val="14"/>
          <w:szCs w:val="14"/>
          <w:lang w:eastAsia="it-IT"/>
        </w:rPr>
      </w:pPr>
      <w:r>
        <w:rPr>
          <w:rFonts w:ascii="Verdana" w:hAnsi="Verdana"/>
          <w:color w:val="7FAAD1"/>
          <w:sz w:val="14"/>
          <w:szCs w:val="14"/>
          <w:lang w:eastAsia="it-IT"/>
        </w:rPr>
        <w:t>Le informazioni contenute nella presente e-mail e negli eventuali allegati, devono essere nella disponibilità del solo destinatario.</w:t>
      </w:r>
    </w:p>
    <w:p w:rsidR="002B6DA6" w:rsidRDefault="0059441C">
      <w:r>
        <w:rPr>
          <w:rFonts w:ascii="Verdana" w:hAnsi="Verdana"/>
          <w:color w:val="7FAAD1"/>
          <w:sz w:val="14"/>
          <w:szCs w:val="14"/>
          <w:lang w:eastAsia="it-IT"/>
        </w:rPr>
        <w:t>Se avete ricevuto per errore questa e-mail siete pregati di informarci (rispedendola al mittente) e di provvedere alla sua rimozione. Possono essere presenti informazioni riservate e non corrette (parzialmente o totalmente). Del contenuto è responsabile il mittente della presente. Chiunque venga in possesso non autorizzato di questa e-mail è vincolato dalla Legge a non leggerne il contenuto</w:t>
      </w:r>
      <w:bookmarkStart w:id="0" w:name="_GoBack"/>
      <w:bookmarkEnd w:id="0"/>
    </w:p>
    <w:sectPr w:rsidR="002B6D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1C"/>
    <w:rsid w:val="002B6DA6"/>
    <w:rsid w:val="0059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41C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9441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4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41C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9441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4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F6A93.346B7C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uppoequitalia.it/" TargetMode="External"/><Relationship Id="rId5" Type="http://schemas.openxmlformats.org/officeDocument/2006/relationships/hyperlink" Target="http://www.gruppoequitalia.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Benacquista</dc:creator>
  <cp:lastModifiedBy>Alessandra Benacquista</cp:lastModifiedBy>
  <cp:revision>1</cp:revision>
  <dcterms:created xsi:type="dcterms:W3CDTF">2014-05-14T08:09:00Z</dcterms:created>
  <dcterms:modified xsi:type="dcterms:W3CDTF">2014-05-14T08:10:00Z</dcterms:modified>
</cp:coreProperties>
</file>